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E8" w:rsidRDefault="000E2BE8" w:rsidP="000E2BE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35DFE7" wp14:editId="11DB7A03">
            <wp:simplePos x="0" y="0"/>
            <wp:positionH relativeFrom="column">
              <wp:posOffset>4654550</wp:posOffset>
            </wp:positionH>
            <wp:positionV relativeFrom="paragraph">
              <wp:posOffset>-521970</wp:posOffset>
            </wp:positionV>
            <wp:extent cx="1248171" cy="746974"/>
            <wp:effectExtent l="0" t="0" r="9525" b="0"/>
            <wp:wrapNone/>
            <wp:docPr id="3" name="Picture 0" descr="IEAHigherEdLogo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EAHigherEdLogoBlac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171" cy="746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09D9">
        <w:rPr>
          <w:rFonts w:ascii="Times New Roman" w:hAnsi="Times New Roman"/>
          <w:b/>
          <w:color w:val="000000"/>
          <w:sz w:val="28"/>
          <w:szCs w:val="28"/>
        </w:rPr>
        <w:t>IEA Higher Education Council Report (</w:t>
      </w:r>
      <w:r w:rsidR="00822FAF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>/</w:t>
      </w:r>
      <w:r w:rsidR="00822FAF">
        <w:rPr>
          <w:rFonts w:ascii="Times New Roman" w:hAnsi="Times New Roman"/>
          <w:b/>
          <w:color w:val="000000"/>
          <w:sz w:val="28"/>
          <w:szCs w:val="28"/>
        </w:rPr>
        <w:t>15</w:t>
      </w:r>
      <w:r w:rsidRPr="004C09D9">
        <w:rPr>
          <w:rFonts w:ascii="Times New Roman" w:hAnsi="Times New Roman"/>
          <w:b/>
          <w:color w:val="000000"/>
          <w:sz w:val="28"/>
          <w:szCs w:val="28"/>
        </w:rPr>
        <w:t>/20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822FAF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4C09D9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822FAF" w:rsidRDefault="00822FAF" w:rsidP="000E2BE8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</w:pPr>
    </w:p>
    <w:p w:rsidR="00490FF9" w:rsidRDefault="00B84472" w:rsidP="00D8574F">
      <w:pPr>
        <w:spacing w:after="0" w:line="240" w:lineRule="auto"/>
        <w:rPr>
          <w:b/>
        </w:rPr>
      </w:pPr>
      <w:r w:rsidRPr="00490FF9">
        <w:rPr>
          <w:rFonts w:ascii="Times New Roman" w:hAnsi="Times New Roman" w:cs="Times New Roman"/>
          <w:b/>
          <w:u w:val="single"/>
        </w:rPr>
        <w:t>Contingent Faculty and the Affordable Care Act:</w:t>
      </w:r>
      <w:r w:rsidRPr="00490FF9">
        <w:rPr>
          <w:rFonts w:ascii="Times New Roman" w:hAnsi="Times New Roman" w:cs="Times New Roman"/>
          <w:u w:val="single"/>
        </w:rPr>
        <w:t xml:space="preserve"> </w:t>
      </w:r>
      <w:r w:rsidR="002E754C" w:rsidRPr="00490FF9">
        <w:rPr>
          <w:rFonts w:ascii="Times New Roman" w:hAnsi="Times New Roman" w:cs="Times New Roman"/>
        </w:rPr>
        <w:t xml:space="preserve"> A provision of the Affordable Care Act</w:t>
      </w:r>
      <w:r w:rsidR="00CF7C1C" w:rsidRPr="00490FF9">
        <w:rPr>
          <w:rFonts w:ascii="Times New Roman" w:hAnsi="Times New Roman" w:cs="Times New Roman"/>
        </w:rPr>
        <w:t>, ACA,</w:t>
      </w:r>
      <w:r w:rsidR="002E754C" w:rsidRPr="00490FF9">
        <w:rPr>
          <w:rFonts w:ascii="Times New Roman" w:hAnsi="Times New Roman" w:cs="Times New Roman"/>
        </w:rPr>
        <w:t xml:space="preserve"> requires that in January 2014, </w:t>
      </w:r>
      <w:r w:rsidR="002E754C" w:rsidRPr="00490FF9">
        <w:rPr>
          <w:rFonts w:ascii="Times New Roman" w:hAnsi="Times New Roman" w:cs="Times New Roman"/>
        </w:rPr>
        <w:t>all businesses with 50 or more employees must offer health care options to those working 30 or more hours per week or pay fines of up to $3,000 per employee.</w:t>
      </w:r>
      <w:r w:rsidR="002E754C" w:rsidRPr="00490FF9">
        <w:rPr>
          <w:rFonts w:ascii="Times New Roman" w:hAnsi="Times New Roman" w:cs="Times New Roman"/>
        </w:rPr>
        <w:t xml:space="preserve">  Ahead of th</w:t>
      </w:r>
      <w:r w:rsidR="00797E9E" w:rsidRPr="00490FF9">
        <w:rPr>
          <w:rFonts w:ascii="Times New Roman" w:hAnsi="Times New Roman" w:cs="Times New Roman"/>
        </w:rPr>
        <w:t xml:space="preserve">is </w:t>
      </w:r>
      <w:r w:rsidR="002E754C" w:rsidRPr="00490FF9">
        <w:rPr>
          <w:rFonts w:ascii="Times New Roman" w:hAnsi="Times New Roman" w:cs="Times New Roman"/>
        </w:rPr>
        <w:t xml:space="preserve">deadline, </w:t>
      </w:r>
      <w:r w:rsidR="008C4CB6">
        <w:rPr>
          <w:rFonts w:ascii="Times New Roman" w:hAnsi="Times New Roman" w:cs="Times New Roman"/>
        </w:rPr>
        <w:t xml:space="preserve">some </w:t>
      </w:r>
      <w:r w:rsidR="002E754C" w:rsidRPr="00490FF9">
        <w:rPr>
          <w:rFonts w:ascii="Times New Roman" w:hAnsi="Times New Roman" w:cs="Times New Roman"/>
        </w:rPr>
        <w:t xml:space="preserve">colleges and universities </w:t>
      </w:r>
      <w:r w:rsidR="008C4CB6">
        <w:rPr>
          <w:rFonts w:ascii="Times New Roman" w:hAnsi="Times New Roman" w:cs="Times New Roman"/>
        </w:rPr>
        <w:t xml:space="preserve">are </w:t>
      </w:r>
      <w:r w:rsidR="002E754C" w:rsidRPr="00490FF9">
        <w:rPr>
          <w:rFonts w:ascii="Times New Roman" w:hAnsi="Times New Roman" w:cs="Times New Roman"/>
        </w:rPr>
        <w:t xml:space="preserve">preemptively cutting back contingent faculty teaching loads (see, </w:t>
      </w:r>
      <w:hyperlink r:id="rId6" w:history="1">
        <w:r w:rsidR="002E754C" w:rsidRPr="00490FF9">
          <w:rPr>
            <w:rStyle w:val="Hyperlink"/>
            <w:rFonts w:ascii="Times New Roman" w:hAnsi="Times New Roman" w:cs="Times New Roman"/>
          </w:rPr>
          <w:t>http://www.insidehighered.com/news/2012/11/30/youngstown-state-limits-adjunct-hours</w:t>
        </w:r>
      </w:hyperlink>
      <w:r w:rsidR="002E754C" w:rsidRPr="00490FF9">
        <w:rPr>
          <w:rFonts w:ascii="Times New Roman" w:hAnsi="Times New Roman" w:cs="Times New Roman"/>
        </w:rPr>
        <w:t xml:space="preserve">). </w:t>
      </w:r>
      <w:r w:rsidR="006B11C3" w:rsidRPr="00490FF9">
        <w:rPr>
          <w:rFonts w:ascii="Times New Roman" w:hAnsi="Times New Roman" w:cs="Times New Roman"/>
        </w:rPr>
        <w:t xml:space="preserve"> </w:t>
      </w:r>
      <w:r w:rsidR="00797E9E" w:rsidRPr="00490FF9">
        <w:rPr>
          <w:rFonts w:ascii="Times New Roman" w:hAnsi="Times New Roman" w:cs="Times New Roman"/>
        </w:rPr>
        <w:t>To j</w:t>
      </w:r>
      <w:r w:rsidR="006B11C3" w:rsidRPr="00490FF9">
        <w:rPr>
          <w:rFonts w:ascii="Times New Roman" w:hAnsi="Times New Roman" w:cs="Times New Roman"/>
        </w:rPr>
        <w:t>ustif</w:t>
      </w:r>
      <w:r w:rsidR="00797E9E" w:rsidRPr="00490FF9">
        <w:rPr>
          <w:rFonts w:ascii="Times New Roman" w:hAnsi="Times New Roman" w:cs="Times New Roman"/>
        </w:rPr>
        <w:t>y these actions administrators point to</w:t>
      </w:r>
      <w:r w:rsidR="006B11C3" w:rsidRPr="00490FF9">
        <w:rPr>
          <w:rFonts w:ascii="Times New Roman" w:hAnsi="Times New Roman" w:cs="Times New Roman"/>
        </w:rPr>
        <w:t xml:space="preserve"> potential increases in institutional heath care cost given shrinking budgets.</w:t>
      </w:r>
      <w:r w:rsidR="00797E9E" w:rsidRPr="00490FF9">
        <w:rPr>
          <w:rFonts w:ascii="Times New Roman" w:hAnsi="Times New Roman" w:cs="Times New Roman"/>
        </w:rPr>
        <w:t xml:space="preserve"> </w:t>
      </w:r>
      <w:r w:rsidR="00CF7C1C" w:rsidRPr="00490FF9">
        <w:rPr>
          <w:rFonts w:ascii="Times New Roman" w:hAnsi="Times New Roman" w:cs="Times New Roman"/>
        </w:rPr>
        <w:t xml:space="preserve"> </w:t>
      </w:r>
      <w:r w:rsidR="008C4CB6">
        <w:rPr>
          <w:rFonts w:ascii="Times New Roman" w:hAnsi="Times New Roman" w:cs="Times New Roman"/>
        </w:rPr>
        <w:t>What is needed, o</w:t>
      </w:r>
      <w:r w:rsidR="00490FF9">
        <w:rPr>
          <w:rFonts w:ascii="Times New Roman" w:hAnsi="Times New Roman" w:cs="Times New Roman"/>
        </w:rPr>
        <w:t>thers cite</w:t>
      </w:r>
      <w:r w:rsidR="008C4CB6">
        <w:rPr>
          <w:rFonts w:ascii="Times New Roman" w:hAnsi="Times New Roman" w:cs="Times New Roman"/>
        </w:rPr>
        <w:t xml:space="preserve">, is </w:t>
      </w:r>
      <w:r w:rsidR="00797E9E" w:rsidRPr="00490FF9">
        <w:rPr>
          <w:rFonts w:ascii="Times New Roman" w:hAnsi="Times New Roman" w:cs="Times New Roman"/>
        </w:rPr>
        <w:t xml:space="preserve">clarification </w:t>
      </w:r>
      <w:r w:rsidR="008C4CB6">
        <w:rPr>
          <w:rFonts w:ascii="Times New Roman" w:hAnsi="Times New Roman" w:cs="Times New Roman"/>
        </w:rPr>
        <w:t>on</w:t>
      </w:r>
      <w:r w:rsidR="00797E9E" w:rsidRPr="00490FF9">
        <w:rPr>
          <w:rFonts w:ascii="Times New Roman" w:hAnsi="Times New Roman" w:cs="Times New Roman"/>
        </w:rPr>
        <w:t xml:space="preserve"> translat</w:t>
      </w:r>
      <w:r w:rsidR="008C4CB6">
        <w:rPr>
          <w:rFonts w:ascii="Times New Roman" w:hAnsi="Times New Roman" w:cs="Times New Roman"/>
        </w:rPr>
        <w:t>ing</w:t>
      </w:r>
      <w:r w:rsidR="00797E9E" w:rsidRPr="00490FF9">
        <w:rPr>
          <w:rFonts w:ascii="Times New Roman" w:hAnsi="Times New Roman" w:cs="Times New Roman"/>
        </w:rPr>
        <w:t xml:space="preserve"> credit hours and course loads to hours worked</w:t>
      </w:r>
      <w:r w:rsidR="008C4CB6">
        <w:rPr>
          <w:rFonts w:ascii="Times New Roman" w:hAnsi="Times New Roman" w:cs="Times New Roman"/>
        </w:rPr>
        <w:t>.</w:t>
      </w:r>
      <w:r w:rsidR="00490FF9">
        <w:rPr>
          <w:rFonts w:ascii="Times New Roman" w:hAnsi="Times New Roman" w:cs="Times New Roman"/>
        </w:rPr>
        <w:t xml:space="preserve"> </w:t>
      </w:r>
      <w:r w:rsidR="008C4CB6">
        <w:rPr>
          <w:rFonts w:ascii="Times New Roman" w:hAnsi="Times New Roman" w:cs="Times New Roman"/>
        </w:rPr>
        <w:t>U</w:t>
      </w:r>
      <w:r w:rsidR="00490FF9">
        <w:rPr>
          <w:rFonts w:ascii="Times New Roman" w:hAnsi="Times New Roman" w:cs="Times New Roman"/>
        </w:rPr>
        <w:t>ntil the</w:t>
      </w:r>
      <w:r w:rsidR="00797E9E" w:rsidRPr="00490FF9">
        <w:rPr>
          <w:rFonts w:ascii="Times New Roman" w:hAnsi="Times New Roman" w:cs="Times New Roman"/>
        </w:rPr>
        <w:t xml:space="preserve"> Treasury Department rules with regard to the law and in particular, to the treatment </w:t>
      </w:r>
      <w:r w:rsidR="00490FF9" w:rsidRPr="00490FF9">
        <w:rPr>
          <w:rFonts w:ascii="Times New Roman" w:hAnsi="Times New Roman" w:cs="Times New Roman"/>
        </w:rPr>
        <w:t>of contingent faculty</w:t>
      </w:r>
      <w:r w:rsidR="00490FF9">
        <w:rPr>
          <w:rFonts w:ascii="Times New Roman" w:hAnsi="Times New Roman" w:cs="Times New Roman"/>
        </w:rPr>
        <w:t xml:space="preserve">, college administrators </w:t>
      </w:r>
      <w:r w:rsidR="008C4CB6">
        <w:rPr>
          <w:rFonts w:ascii="Times New Roman" w:hAnsi="Times New Roman" w:cs="Times New Roman"/>
        </w:rPr>
        <w:t>may be</w:t>
      </w:r>
      <w:r w:rsidR="00490FF9">
        <w:rPr>
          <w:rFonts w:ascii="Times New Roman" w:hAnsi="Times New Roman" w:cs="Times New Roman"/>
        </w:rPr>
        <w:t xml:space="preserve"> moving too quickly.</w:t>
      </w:r>
      <w:r w:rsidR="00490FF9" w:rsidRPr="00490FF9">
        <w:rPr>
          <w:rFonts w:ascii="Times New Roman" w:hAnsi="Times New Roman" w:cs="Times New Roman"/>
        </w:rPr>
        <w:t xml:space="preserve"> </w:t>
      </w:r>
      <w:r w:rsidR="00CF7C1C" w:rsidRPr="00490FF9">
        <w:rPr>
          <w:rFonts w:ascii="Times New Roman" w:hAnsi="Times New Roman" w:cs="Times New Roman"/>
        </w:rPr>
        <w:t xml:space="preserve"> NEA is working with the Treasury Department on rule making related to contingent faculty and the ACA</w:t>
      </w:r>
      <w:r w:rsidR="00490FF9" w:rsidRPr="00490FF9">
        <w:rPr>
          <w:rFonts w:ascii="Times New Roman" w:hAnsi="Times New Roman" w:cs="Times New Roman"/>
        </w:rPr>
        <w:t xml:space="preserve">. </w:t>
      </w:r>
      <w:r w:rsidR="00CF7C1C" w:rsidRPr="00490FF9">
        <w:rPr>
          <w:rFonts w:ascii="Times New Roman" w:hAnsi="Times New Roman" w:cs="Times New Roman"/>
        </w:rPr>
        <w:t xml:space="preserve"> </w:t>
      </w:r>
      <w:r w:rsidR="00490FF9" w:rsidRPr="00490FF9">
        <w:rPr>
          <w:rFonts w:ascii="Times New Roman" w:hAnsi="Times New Roman" w:cs="Times New Roman"/>
        </w:rPr>
        <w:t xml:space="preserve">“One of the biggest issues here is that the narrative is that the Affordable Care Act is the problem, but from our standpoint the [act] isn’t the problem,” states  </w:t>
      </w:r>
      <w:r w:rsidR="00490FF9" w:rsidRPr="00A44D2F">
        <w:rPr>
          <w:rFonts w:ascii="Times New Roman" w:hAnsi="Times New Roman" w:cs="Times New Roman"/>
          <w:b/>
          <w:i/>
        </w:rPr>
        <w:t xml:space="preserve">Adrianna </w:t>
      </w:r>
      <w:proofErr w:type="spellStart"/>
      <w:r w:rsidR="00490FF9" w:rsidRPr="00A44D2F">
        <w:rPr>
          <w:rFonts w:ascii="Times New Roman" w:hAnsi="Times New Roman" w:cs="Times New Roman"/>
          <w:b/>
          <w:i/>
        </w:rPr>
        <w:t>Kezar</w:t>
      </w:r>
      <w:proofErr w:type="spellEnd"/>
      <w:r w:rsidR="00490FF9" w:rsidRPr="00490FF9">
        <w:rPr>
          <w:rFonts w:ascii="Times New Roman" w:hAnsi="Times New Roman" w:cs="Times New Roman"/>
        </w:rPr>
        <w:t xml:space="preserve">, founder of the </w:t>
      </w:r>
      <w:hyperlink r:id="rId7" w:tgtFrame="_blank" w:history="1">
        <w:r w:rsidR="00490FF9" w:rsidRPr="00490FF9">
          <w:rPr>
            <w:rStyle w:val="Hyperlink"/>
            <w:rFonts w:ascii="Times New Roman" w:hAnsi="Times New Roman" w:cs="Times New Roman"/>
          </w:rPr>
          <w:t>Delp</w:t>
        </w:r>
        <w:r w:rsidR="00490FF9" w:rsidRPr="00490FF9">
          <w:rPr>
            <w:rStyle w:val="Hyperlink"/>
            <w:rFonts w:ascii="Times New Roman" w:hAnsi="Times New Roman" w:cs="Times New Roman"/>
          </w:rPr>
          <w:t>h</w:t>
        </w:r>
        <w:r w:rsidR="00490FF9" w:rsidRPr="00490FF9">
          <w:rPr>
            <w:rStyle w:val="Hyperlink"/>
            <w:rFonts w:ascii="Times New Roman" w:hAnsi="Times New Roman" w:cs="Times New Roman"/>
          </w:rPr>
          <w:t>i Project</w:t>
        </w:r>
      </w:hyperlink>
      <w:r w:rsidR="00490FF9" w:rsidRPr="00490FF9">
        <w:rPr>
          <w:rFonts w:ascii="Times New Roman" w:hAnsi="Times New Roman" w:cs="Times New Roman"/>
        </w:rPr>
        <w:t>, which work</w:t>
      </w:r>
      <w:r w:rsidR="00A44D2F">
        <w:rPr>
          <w:rFonts w:ascii="Times New Roman" w:hAnsi="Times New Roman" w:cs="Times New Roman"/>
        </w:rPr>
        <w:t>s</w:t>
      </w:r>
      <w:r w:rsidR="00490FF9" w:rsidRPr="00490FF9">
        <w:rPr>
          <w:rFonts w:ascii="Times New Roman" w:hAnsi="Times New Roman" w:cs="Times New Roman"/>
        </w:rPr>
        <w:t xml:space="preserve"> with faculty and administrator groups to find ways to improve the conditions under which non-tenure-track faculty members work.– but rather institutions finding ways to deny deserving employees potential benefits.</w:t>
      </w:r>
      <w:r w:rsidR="00DA2191">
        <w:rPr>
          <w:rFonts w:ascii="Times New Roman" w:hAnsi="Times New Roman" w:cs="Times New Roman"/>
        </w:rPr>
        <w:t xml:space="preserve"> </w:t>
      </w:r>
      <w:r w:rsidR="00490FF9" w:rsidRPr="00490FF9">
        <w:rPr>
          <w:rFonts w:ascii="Times New Roman" w:hAnsi="Times New Roman" w:cs="Times New Roman"/>
        </w:rPr>
        <w:t xml:space="preserve"> “This is just another example of bad employer behavior.”</w:t>
      </w:r>
      <w:r w:rsidR="00A44D2F">
        <w:rPr>
          <w:rFonts w:ascii="Times New Roman" w:hAnsi="Times New Roman" w:cs="Times New Roman"/>
        </w:rPr>
        <w:t xml:space="preserve">  IEA </w:t>
      </w:r>
      <w:r w:rsidR="00A44D2F" w:rsidRPr="00A44D2F">
        <w:rPr>
          <w:rFonts w:ascii="Times New Roman" w:hAnsi="Times New Roman" w:cs="Times New Roman"/>
        </w:rPr>
        <w:t xml:space="preserve">Region 67 is hosting a session to learn more about the </w:t>
      </w:r>
      <w:r w:rsidR="00A44D2F">
        <w:rPr>
          <w:rFonts w:ascii="Times New Roman" w:hAnsi="Times New Roman" w:cs="Times New Roman"/>
        </w:rPr>
        <w:t>ACA</w:t>
      </w:r>
      <w:r w:rsidR="00A44D2F" w:rsidRPr="00A44D2F">
        <w:rPr>
          <w:rFonts w:ascii="Times New Roman" w:hAnsi="Times New Roman" w:cs="Times New Roman"/>
        </w:rPr>
        <w:t xml:space="preserve"> and to strategize about making it work for </w:t>
      </w:r>
      <w:r w:rsidR="00A44D2F">
        <w:rPr>
          <w:rFonts w:ascii="Times New Roman" w:hAnsi="Times New Roman" w:cs="Times New Roman"/>
        </w:rPr>
        <w:t>contingent faculty</w:t>
      </w:r>
      <w:r w:rsidR="00A44D2F" w:rsidRPr="00A44D2F">
        <w:rPr>
          <w:rFonts w:ascii="Times New Roman" w:hAnsi="Times New Roman" w:cs="Times New Roman"/>
        </w:rPr>
        <w:t xml:space="preserve"> </w:t>
      </w:r>
      <w:r w:rsidR="008C4CB6">
        <w:rPr>
          <w:rFonts w:ascii="Times New Roman" w:hAnsi="Times New Roman" w:cs="Times New Roman"/>
        </w:rPr>
        <w:t>–</w:t>
      </w:r>
      <w:r w:rsidR="00A44D2F" w:rsidRPr="00A44D2F">
        <w:rPr>
          <w:rFonts w:ascii="Times New Roman" w:hAnsi="Times New Roman" w:cs="Times New Roman"/>
        </w:rPr>
        <w:t xml:space="preserve"> </w:t>
      </w:r>
      <w:r w:rsidR="008C4CB6">
        <w:rPr>
          <w:rFonts w:ascii="Times New Roman" w:hAnsi="Times New Roman" w:cs="Times New Roman"/>
        </w:rPr>
        <w:t xml:space="preserve">as opposed to </w:t>
      </w:r>
      <w:r w:rsidR="00DA2191">
        <w:rPr>
          <w:rFonts w:ascii="Times New Roman" w:hAnsi="Times New Roman" w:cs="Times New Roman"/>
        </w:rPr>
        <w:t>accepting reduced workloads</w:t>
      </w:r>
      <w:r w:rsidR="00A44D2F" w:rsidRPr="00A44D2F">
        <w:rPr>
          <w:rFonts w:ascii="Times New Roman" w:hAnsi="Times New Roman" w:cs="Times New Roman"/>
        </w:rPr>
        <w:t xml:space="preserve"> </w:t>
      </w:r>
      <w:r w:rsidR="00A44D2F">
        <w:rPr>
          <w:rFonts w:ascii="Times New Roman" w:hAnsi="Times New Roman" w:cs="Times New Roman"/>
        </w:rPr>
        <w:t>–</w:t>
      </w:r>
      <w:r w:rsidR="00A44D2F" w:rsidRPr="00A44D2F">
        <w:rPr>
          <w:rFonts w:ascii="Times New Roman" w:hAnsi="Times New Roman" w:cs="Times New Roman"/>
        </w:rPr>
        <w:t xml:space="preserve"> </w:t>
      </w:r>
      <w:r w:rsidR="008C4CB6">
        <w:rPr>
          <w:rFonts w:ascii="Times New Roman" w:hAnsi="Times New Roman" w:cs="Times New Roman"/>
        </w:rPr>
        <w:t xml:space="preserve">by </w:t>
      </w:r>
      <w:r w:rsidR="00A44D2F" w:rsidRPr="00A44D2F">
        <w:rPr>
          <w:rFonts w:ascii="Times New Roman" w:hAnsi="Times New Roman" w:cs="Times New Roman"/>
        </w:rPr>
        <w:t>developing strong contract language.</w:t>
      </w:r>
      <w:r w:rsidR="00D8574F">
        <w:rPr>
          <w:rFonts w:ascii="Times New Roman" w:hAnsi="Times New Roman" w:cs="Times New Roman"/>
        </w:rPr>
        <w:t xml:space="preserve">  </w:t>
      </w:r>
    </w:p>
    <w:p w:rsidR="00822FAF" w:rsidRPr="00E50B3A" w:rsidRDefault="00822FAF" w:rsidP="00822FAF">
      <w:pPr>
        <w:pStyle w:val="Heading3"/>
        <w:spacing w:before="0" w:beforeAutospacing="0" w:after="0" w:afterAutospacing="0"/>
        <w:rPr>
          <w:sz w:val="16"/>
          <w:szCs w:val="16"/>
        </w:rPr>
      </w:pPr>
    </w:p>
    <w:p w:rsidR="00822FAF" w:rsidRPr="00E50B3A" w:rsidRDefault="00D8574F" w:rsidP="00A30611">
      <w:pPr>
        <w:pStyle w:val="Heading1"/>
        <w:spacing w:before="0" w:line="240" w:lineRule="auto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D8574F">
        <w:rPr>
          <w:rStyle w:val="mdcpagetitle"/>
          <w:rFonts w:ascii="Times New Roman" w:hAnsi="Times New Roman" w:cs="Times New Roman"/>
          <w:color w:val="auto"/>
          <w:sz w:val="22"/>
          <w:szCs w:val="22"/>
          <w:u w:val="single"/>
        </w:rPr>
        <w:t>Moody's: 2013 outlook for entire US Higher Education sector changed to negative</w:t>
      </w:r>
      <w:proofErr w:type="gramStart"/>
      <w:r w:rsidRPr="00D8574F">
        <w:rPr>
          <w:rStyle w:val="mdcpagetitle"/>
          <w:rFonts w:ascii="Times New Roman" w:hAnsi="Times New Roman" w:cs="Times New Roman"/>
          <w:color w:val="auto"/>
          <w:sz w:val="22"/>
          <w:szCs w:val="22"/>
          <w:u w:val="single"/>
        </w:rPr>
        <w:t xml:space="preserve">: </w:t>
      </w:r>
      <w:r w:rsidR="00DA2191">
        <w:rPr>
          <w:rStyle w:val="mdcpagetitle"/>
          <w:rFonts w:ascii="Times New Roman" w:hAnsi="Times New Roman" w:cs="Times New Roman"/>
          <w:color w:val="auto"/>
          <w:sz w:val="22"/>
          <w:szCs w:val="22"/>
          <w:u w:val="single"/>
        </w:rPr>
        <w:t>.</w:t>
      </w:r>
      <w:proofErr w:type="gramEnd"/>
      <w:r>
        <w:rPr>
          <w:rStyle w:val="mdcpagetitle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A30611">
        <w:rPr>
          <w:rStyle w:val="mdcpagetitle"/>
          <w:rFonts w:ascii="Times New Roman" w:hAnsi="Times New Roman" w:cs="Times New Roman"/>
          <w:b w:val="0"/>
          <w:color w:val="auto"/>
          <w:sz w:val="22"/>
          <w:szCs w:val="22"/>
        </w:rPr>
        <w:t>Much has been made of the actual and potential downgrades to Illinois’ credit rating</w:t>
      </w:r>
      <w:r w:rsidR="008C4CB6">
        <w:rPr>
          <w:rStyle w:val="mdcpagetitle"/>
          <w:rFonts w:ascii="Times New Roman" w:hAnsi="Times New Roman" w:cs="Times New Roman"/>
          <w:b w:val="0"/>
          <w:color w:val="auto"/>
          <w:sz w:val="22"/>
          <w:szCs w:val="22"/>
        </w:rPr>
        <w:t>, well;</w:t>
      </w:r>
      <w:r w:rsidR="00A30611">
        <w:rPr>
          <w:rStyle w:val="mdcpagetitle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A30611" w:rsidRPr="00A30611">
        <w:rPr>
          <w:rFonts w:ascii="Times New Roman" w:hAnsi="Times New Roman" w:cs="Times New Roman"/>
          <w:b w:val="0"/>
          <w:color w:val="auto"/>
          <w:sz w:val="22"/>
          <w:szCs w:val="22"/>
        </w:rPr>
        <w:t>Moody's Investors Service in its annual industry outlook</w:t>
      </w:r>
      <w:r w:rsidR="00A3061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downgraded the outlook for the </w:t>
      </w:r>
      <w:r w:rsidR="00A30611" w:rsidRPr="00A30611">
        <w:rPr>
          <w:rFonts w:ascii="Times New Roman" w:hAnsi="Times New Roman" w:cs="Times New Roman"/>
          <w:i/>
          <w:color w:val="auto"/>
          <w:sz w:val="22"/>
          <w:szCs w:val="22"/>
        </w:rPr>
        <w:t>entire</w:t>
      </w:r>
      <w:r w:rsidR="00A30611" w:rsidRPr="00A3061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A3061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US Higher Ed sector to negative from stable. </w:t>
      </w:r>
      <w:r w:rsidR="00E50B3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Reasons cited for the downgrade include continued price sensitivity, i.e. tuition sensitivity, resulting from depressed family incomes and net worth, stagnating non-tuition revenues, i.e. state appropriations, endowments, and federal grants, and the rising burden of student loans and defaults leaving  many people to question the </w:t>
      </w:r>
      <w:r w:rsidR="00E50B3A" w:rsidRPr="00E50B3A">
        <w:rPr>
          <w:rFonts w:ascii="Times New Roman" w:hAnsi="Times New Roman" w:cs="Times New Roman"/>
          <w:b w:val="0"/>
          <w:color w:val="auto"/>
          <w:sz w:val="22"/>
          <w:szCs w:val="22"/>
        </w:rPr>
        <w:t>value</w:t>
      </w:r>
      <w:r w:rsidR="00A30611" w:rsidRPr="00E50B3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E50B3A" w:rsidRPr="00E50B3A">
        <w:rPr>
          <w:rFonts w:ascii="Times New Roman" w:hAnsi="Times New Roman" w:cs="Times New Roman"/>
          <w:b w:val="0"/>
          <w:color w:val="auto"/>
          <w:sz w:val="22"/>
          <w:szCs w:val="22"/>
        </w:rPr>
        <w:t>of a college degree.</w:t>
      </w:r>
      <w:r w:rsidR="00E50B3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See; </w:t>
      </w:r>
      <w:hyperlink r:id="rId8" w:history="1">
        <w:r w:rsidR="00E50B3A" w:rsidRPr="002F321D">
          <w:rPr>
            <w:rStyle w:val="Hyperlink"/>
            <w:rFonts w:ascii="Times New Roman" w:hAnsi="Times New Roman" w:cs="Times New Roman"/>
            <w:b w:val="0"/>
            <w:sz w:val="22"/>
            <w:szCs w:val="22"/>
          </w:rPr>
          <w:t>http://www.moodys.com/research/Moodys-2013-outlook-for-entire-US-Higher-Education-sector-changed--PR_263866</w:t>
        </w:r>
      </w:hyperlink>
      <w:r w:rsidR="00E50B3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</w:p>
    <w:p w:rsidR="00822FAF" w:rsidRPr="00E50B3A" w:rsidRDefault="00822FAF" w:rsidP="00822FAF">
      <w:pPr>
        <w:pStyle w:val="Heading3"/>
        <w:spacing w:before="0" w:beforeAutospacing="0" w:after="0" w:afterAutospacing="0"/>
        <w:rPr>
          <w:sz w:val="16"/>
          <w:szCs w:val="16"/>
        </w:rPr>
      </w:pPr>
    </w:p>
    <w:p w:rsidR="00822FAF" w:rsidRPr="00DC5681" w:rsidRDefault="00D8574F" w:rsidP="00822FAF">
      <w:pPr>
        <w:pStyle w:val="Heading3"/>
        <w:spacing w:before="0" w:beforeAutospacing="0" w:after="0" w:afterAutospacing="0"/>
        <w:rPr>
          <w:b w:val="0"/>
          <w:sz w:val="22"/>
          <w:szCs w:val="22"/>
        </w:rPr>
      </w:pPr>
      <w:r>
        <w:rPr>
          <w:sz w:val="22"/>
          <w:szCs w:val="22"/>
        </w:rPr>
        <w:t>Exiting</w:t>
      </w:r>
      <w:r w:rsidR="00822FAF" w:rsidRPr="00DC5681">
        <w:rPr>
          <w:sz w:val="22"/>
          <w:szCs w:val="22"/>
        </w:rPr>
        <w:t xml:space="preserve"> Illinois’ Higher Education: </w:t>
      </w:r>
      <w:r w:rsidR="00822FAF">
        <w:rPr>
          <w:sz w:val="22"/>
          <w:szCs w:val="22"/>
        </w:rPr>
        <w:t xml:space="preserve"> </w:t>
      </w:r>
      <w:r w:rsidR="00822FAF" w:rsidRPr="00DC5681">
        <w:rPr>
          <w:b w:val="0"/>
          <w:sz w:val="22"/>
          <w:szCs w:val="22"/>
        </w:rPr>
        <w:t>U</w:t>
      </w:r>
      <w:r w:rsidR="00A30611">
        <w:rPr>
          <w:b w:val="0"/>
          <w:sz w:val="22"/>
          <w:szCs w:val="22"/>
        </w:rPr>
        <w:t xml:space="preserve">S </w:t>
      </w:r>
      <w:r w:rsidR="00822FAF" w:rsidRPr="00DC5681">
        <w:rPr>
          <w:b w:val="0"/>
          <w:sz w:val="22"/>
          <w:szCs w:val="22"/>
        </w:rPr>
        <w:t xml:space="preserve">data indicates </w:t>
      </w:r>
      <w:r w:rsidR="00A30611">
        <w:rPr>
          <w:b w:val="0"/>
          <w:sz w:val="22"/>
          <w:szCs w:val="22"/>
        </w:rPr>
        <w:t>that the</w:t>
      </w:r>
      <w:r w:rsidR="00822FAF" w:rsidRPr="00DC5681">
        <w:rPr>
          <w:b w:val="0"/>
          <w:sz w:val="22"/>
          <w:szCs w:val="22"/>
        </w:rPr>
        <w:t xml:space="preserve"> net outflow of </w:t>
      </w:r>
      <w:r w:rsidR="00822FAF">
        <w:rPr>
          <w:b w:val="0"/>
          <w:sz w:val="22"/>
          <w:szCs w:val="22"/>
        </w:rPr>
        <w:t xml:space="preserve">Illinois </w:t>
      </w:r>
      <w:r w:rsidR="00822FAF" w:rsidRPr="00DC5681">
        <w:rPr>
          <w:b w:val="0"/>
          <w:sz w:val="22"/>
          <w:szCs w:val="22"/>
        </w:rPr>
        <w:t xml:space="preserve">freshmen </w:t>
      </w:r>
      <w:r w:rsidR="00A30611">
        <w:rPr>
          <w:b w:val="0"/>
          <w:sz w:val="22"/>
          <w:szCs w:val="22"/>
        </w:rPr>
        <w:t xml:space="preserve">to </w:t>
      </w:r>
      <w:r w:rsidR="00822FAF" w:rsidRPr="00DC5681">
        <w:rPr>
          <w:b w:val="0"/>
          <w:sz w:val="22"/>
          <w:szCs w:val="22"/>
        </w:rPr>
        <w:t xml:space="preserve">out </w:t>
      </w:r>
      <w:r w:rsidR="00822FAF">
        <w:rPr>
          <w:b w:val="0"/>
          <w:sz w:val="22"/>
          <w:szCs w:val="22"/>
        </w:rPr>
        <w:t xml:space="preserve">of state colleges exceeds </w:t>
      </w:r>
      <w:r>
        <w:rPr>
          <w:b w:val="0"/>
          <w:sz w:val="22"/>
          <w:szCs w:val="22"/>
        </w:rPr>
        <w:t xml:space="preserve">the </w:t>
      </w:r>
      <w:r w:rsidR="00822FAF">
        <w:rPr>
          <w:b w:val="0"/>
          <w:sz w:val="22"/>
          <w:szCs w:val="22"/>
        </w:rPr>
        <w:t>inflow of non-Illinois freshmen by 13,000 students</w:t>
      </w:r>
      <w:r w:rsidR="00A30611">
        <w:rPr>
          <w:b w:val="0"/>
          <w:sz w:val="22"/>
          <w:szCs w:val="22"/>
        </w:rPr>
        <w:t xml:space="preserve">. </w:t>
      </w:r>
      <w:r w:rsidR="00822FAF">
        <w:rPr>
          <w:b w:val="0"/>
          <w:sz w:val="22"/>
          <w:szCs w:val="22"/>
        </w:rPr>
        <w:t xml:space="preserve"> </w:t>
      </w:r>
      <w:r w:rsidR="00A30611">
        <w:rPr>
          <w:b w:val="0"/>
          <w:sz w:val="22"/>
          <w:szCs w:val="22"/>
        </w:rPr>
        <w:t>Thirty thousand</w:t>
      </w:r>
      <w:r w:rsidR="00822FAF">
        <w:rPr>
          <w:b w:val="0"/>
          <w:sz w:val="22"/>
          <w:szCs w:val="22"/>
        </w:rPr>
        <w:t xml:space="preserve"> Illinois freshmen, 25% of </w:t>
      </w:r>
      <w:r w:rsidR="00A30611">
        <w:rPr>
          <w:b w:val="0"/>
          <w:sz w:val="22"/>
          <w:szCs w:val="22"/>
        </w:rPr>
        <w:t>the I</w:t>
      </w:r>
      <w:r w:rsidR="008C4CB6">
        <w:rPr>
          <w:b w:val="0"/>
          <w:sz w:val="22"/>
          <w:szCs w:val="22"/>
        </w:rPr>
        <w:t>llinois</w:t>
      </w:r>
      <w:r w:rsidR="00A30611">
        <w:rPr>
          <w:b w:val="0"/>
          <w:sz w:val="22"/>
          <w:szCs w:val="22"/>
        </w:rPr>
        <w:t xml:space="preserve"> freshmen class</w:t>
      </w:r>
      <w:r w:rsidR="008C4CB6">
        <w:rPr>
          <w:b w:val="0"/>
          <w:sz w:val="22"/>
          <w:szCs w:val="22"/>
        </w:rPr>
        <w:t>,</w:t>
      </w:r>
      <w:r w:rsidR="00822FAF">
        <w:rPr>
          <w:b w:val="0"/>
          <w:sz w:val="22"/>
          <w:szCs w:val="22"/>
        </w:rPr>
        <w:t xml:space="preserve"> left the state</w:t>
      </w:r>
      <w:r w:rsidR="008C4CB6">
        <w:rPr>
          <w:b w:val="0"/>
          <w:sz w:val="22"/>
          <w:szCs w:val="22"/>
        </w:rPr>
        <w:t xml:space="preserve"> to attend out of state colleges</w:t>
      </w:r>
      <w:r w:rsidR="00822FAF">
        <w:rPr>
          <w:b w:val="0"/>
          <w:sz w:val="22"/>
          <w:szCs w:val="22"/>
        </w:rPr>
        <w:t>.  This is a 17% increase over the last decade.</w:t>
      </w:r>
    </w:p>
    <w:p w:rsidR="00822FAF" w:rsidRDefault="00822FAF" w:rsidP="00822FAF">
      <w:pPr>
        <w:pStyle w:val="Heading3"/>
        <w:spacing w:before="0" w:beforeAutospacing="0" w:after="0" w:afterAutospacing="0"/>
        <w:rPr>
          <w:sz w:val="18"/>
          <w:szCs w:val="18"/>
        </w:rPr>
      </w:pPr>
    </w:p>
    <w:p w:rsidR="00822FAF" w:rsidRDefault="00822FAF" w:rsidP="00822FAF">
      <w:pPr>
        <w:pStyle w:val="Heading3"/>
        <w:spacing w:before="0" w:beforeAutospacing="0" w:after="0" w:afterAutospacing="0"/>
        <w:rPr>
          <w:sz w:val="18"/>
          <w:szCs w:val="18"/>
        </w:rPr>
      </w:pPr>
      <w:r w:rsidRPr="00DC5681">
        <w:rPr>
          <w:sz w:val="18"/>
          <w:szCs w:val="18"/>
        </w:rPr>
        <w:t>Illinois freshmen enrolled in out-of-state schools</w:t>
      </w:r>
      <w:r>
        <w:rPr>
          <w:b w:val="0"/>
          <w:bCs w:val="0"/>
          <w:sz w:val="20"/>
          <w:szCs w:val="20"/>
        </w:rPr>
        <w:t xml:space="preserve">                             </w:t>
      </w:r>
      <w:r w:rsidRPr="00DC5681">
        <w:rPr>
          <w:sz w:val="18"/>
          <w:szCs w:val="18"/>
        </w:rPr>
        <w:t>Out-of-state freshmen enrolled in Illinois' schools</w:t>
      </w:r>
    </w:p>
    <w:p w:rsidR="00822FAF" w:rsidRPr="00DC5681" w:rsidRDefault="00822FAF" w:rsidP="00822FAF">
      <w:pPr>
        <w:pStyle w:val="Heading3"/>
        <w:spacing w:before="0" w:beforeAutospacing="0" w:after="0" w:afterAutospacing="0"/>
        <w:rPr>
          <w:b w:val="0"/>
          <w:bCs w:val="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94DEB5A" wp14:editId="5D4A9F47">
            <wp:simplePos x="0" y="0"/>
            <wp:positionH relativeFrom="column">
              <wp:posOffset>3219450</wp:posOffset>
            </wp:positionH>
            <wp:positionV relativeFrom="paragraph">
              <wp:posOffset>94615</wp:posOffset>
            </wp:positionV>
            <wp:extent cx="2842895" cy="1695450"/>
            <wp:effectExtent l="0" t="0" r="0" b="0"/>
            <wp:wrapNone/>
            <wp:docPr id="2" name="Picture 2" descr="http://graphics.chicagotribune.com/enrollment/students-com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raphics.chicagotribune.com/enrollment/students-comin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9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2CD60DB" wp14:editId="6C0960E9">
            <wp:simplePos x="0" y="0"/>
            <wp:positionH relativeFrom="column">
              <wp:posOffset>-196215</wp:posOffset>
            </wp:positionH>
            <wp:positionV relativeFrom="paragraph">
              <wp:posOffset>101600</wp:posOffset>
            </wp:positionV>
            <wp:extent cx="2993390" cy="1784985"/>
            <wp:effectExtent l="0" t="0" r="0" b="5715"/>
            <wp:wrapNone/>
            <wp:docPr id="1" name="Picture 1" descr="http://graphics.chicagotribune.com/enrollment/students-leav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aphics.chicagotribune.com/enrollment/students-leavin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5681">
        <w:rPr>
          <w:sz w:val="16"/>
          <w:szCs w:val="16"/>
        </w:rPr>
        <w:t>Circle area is equal to the number of freshmen</w:t>
      </w:r>
    </w:p>
    <w:p w:rsidR="00822FAF" w:rsidRPr="00DC5681" w:rsidRDefault="00822FAF" w:rsidP="00822FA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22FAF" w:rsidRDefault="00822FAF" w:rsidP="00822FAF"/>
    <w:p w:rsidR="00822FAF" w:rsidRDefault="00822FAF" w:rsidP="000E2BE8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822FAF" w:rsidRDefault="00822FAF" w:rsidP="000E2BE8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822FAF" w:rsidRDefault="00822FAF" w:rsidP="000E2BE8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822FAF" w:rsidRDefault="00822FAF" w:rsidP="000E2BE8">
      <w:pPr>
        <w:spacing w:after="0" w:line="240" w:lineRule="auto"/>
        <w:rPr>
          <w:rFonts w:ascii="Times New Roman" w:hAnsi="Times New Roman"/>
          <w:b/>
          <w:color w:val="000000"/>
        </w:rPr>
      </w:pPr>
      <w:bookmarkStart w:id="0" w:name="_GoBack"/>
      <w:bookmarkEnd w:id="0"/>
    </w:p>
    <w:p w:rsidR="00822FAF" w:rsidRDefault="00822FAF" w:rsidP="000E2BE8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822FAF" w:rsidRDefault="00822FAF" w:rsidP="000E2BE8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822FAF" w:rsidRPr="00E50B3A" w:rsidRDefault="00822FAF" w:rsidP="000E2BE8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</w:pPr>
    </w:p>
    <w:p w:rsidR="00822FAF" w:rsidRPr="00822FAF" w:rsidRDefault="00822FAF" w:rsidP="00822FAF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822FAF">
        <w:rPr>
          <w:rFonts w:ascii="Times New Roman" w:hAnsi="Times New Roman" w:cs="Times New Roman"/>
          <w:b/>
          <w:u w:val="single"/>
        </w:rPr>
        <w:t>NEA Higher Education Conference:</w:t>
      </w:r>
      <w:r w:rsidRPr="00822FAF">
        <w:rPr>
          <w:rFonts w:ascii="Times New Roman" w:hAnsi="Times New Roman" w:cs="Times New Roman"/>
        </w:rPr>
        <w:t xml:space="preserve">  The NEA Higher Education Conference</w:t>
      </w:r>
      <w:r>
        <w:rPr>
          <w:rFonts w:ascii="Times New Roman" w:hAnsi="Times New Roman" w:cs="Times New Roman"/>
        </w:rPr>
        <w:t xml:space="preserve"> will be held March 22-24 in Portland</w:t>
      </w:r>
      <w:r w:rsidRPr="00822FAF">
        <w:rPr>
          <w:rFonts w:ascii="Times New Roman" w:hAnsi="Times New Roman" w:cs="Times New Roman"/>
        </w:rPr>
        <w:t>,</w:t>
      </w:r>
      <w:r w:rsidR="00B84472">
        <w:rPr>
          <w:rFonts w:ascii="Times New Roman" w:hAnsi="Times New Roman" w:cs="Times New Roman"/>
        </w:rPr>
        <w:t xml:space="preserve"> Oregon.  This year’s theme is</w:t>
      </w:r>
      <w:r w:rsidRPr="00822FAF">
        <w:rPr>
          <w:rFonts w:ascii="Times New Roman" w:hAnsi="Times New Roman" w:cs="Times New Roman"/>
        </w:rPr>
        <w:t xml:space="preserve"> </w:t>
      </w:r>
      <w:r w:rsidRPr="00DA2191">
        <w:rPr>
          <w:rFonts w:ascii="Times New Roman" w:hAnsi="Times New Roman" w:cs="Times New Roman"/>
          <w:b/>
          <w:i/>
        </w:rPr>
        <w:t>“Faculty</w:t>
      </w:r>
      <w:r w:rsidR="00B84472" w:rsidRPr="00DA2191">
        <w:rPr>
          <w:rFonts w:ascii="Times New Roman" w:hAnsi="Times New Roman" w:cs="Times New Roman"/>
          <w:b/>
          <w:i/>
        </w:rPr>
        <w:t>, Students, and the Common Good.”</w:t>
      </w:r>
      <w:r w:rsidR="00B84472">
        <w:rPr>
          <w:rFonts w:ascii="Times New Roman" w:hAnsi="Times New Roman" w:cs="Times New Roman"/>
        </w:rPr>
        <w:t xml:space="preserve">  </w:t>
      </w:r>
      <w:r w:rsidR="00B84472" w:rsidRPr="00B84472">
        <w:rPr>
          <w:rFonts w:ascii="Times New Roman" w:hAnsi="Times New Roman" w:cs="Times New Roman"/>
        </w:rPr>
        <w:t>This year’s conference is designed to provide participants an opportunity to engage i</w:t>
      </w:r>
      <w:r w:rsidR="00B84472">
        <w:rPr>
          <w:rFonts w:ascii="Times New Roman" w:hAnsi="Times New Roman" w:cs="Times New Roman"/>
        </w:rPr>
        <w:t>n organizing training, pro</w:t>
      </w:r>
      <w:r w:rsidR="00B84472" w:rsidRPr="00B84472">
        <w:rPr>
          <w:rFonts w:ascii="Times New Roman" w:hAnsi="Times New Roman" w:cs="Times New Roman"/>
        </w:rPr>
        <w:t>fessional development workshops,</w:t>
      </w:r>
      <w:r w:rsidR="00B84472">
        <w:rPr>
          <w:rFonts w:ascii="Times New Roman" w:hAnsi="Times New Roman" w:cs="Times New Roman"/>
        </w:rPr>
        <w:t xml:space="preserve"> and</w:t>
      </w:r>
      <w:r w:rsidR="00B84472" w:rsidRPr="00B84472">
        <w:rPr>
          <w:rFonts w:ascii="Times New Roman" w:hAnsi="Times New Roman" w:cs="Times New Roman"/>
        </w:rPr>
        <w:t xml:space="preserve"> skill sessions in the areas of higher </w:t>
      </w:r>
      <w:proofErr w:type="spellStart"/>
      <w:proofErr w:type="gramStart"/>
      <w:r w:rsidR="00B84472" w:rsidRPr="00B84472">
        <w:rPr>
          <w:rFonts w:ascii="Times New Roman" w:hAnsi="Times New Roman" w:cs="Times New Roman"/>
        </w:rPr>
        <w:t>ed</w:t>
      </w:r>
      <w:proofErr w:type="spellEnd"/>
      <w:proofErr w:type="gramEnd"/>
      <w:r w:rsidR="00B84472" w:rsidRPr="00B84472">
        <w:rPr>
          <w:rFonts w:ascii="Times New Roman" w:hAnsi="Times New Roman" w:cs="Times New Roman"/>
        </w:rPr>
        <w:t xml:space="preserve"> polic</w:t>
      </w:r>
      <w:r w:rsidR="00B84472">
        <w:rPr>
          <w:rFonts w:ascii="Times New Roman" w:hAnsi="Times New Roman" w:cs="Times New Roman"/>
        </w:rPr>
        <w:t xml:space="preserve">y issues, funding, </w:t>
      </w:r>
      <w:r w:rsidR="00B84472" w:rsidRPr="00B84472">
        <w:rPr>
          <w:rFonts w:ascii="Times New Roman" w:hAnsi="Times New Roman" w:cs="Times New Roman"/>
        </w:rPr>
        <w:t>negotiations, building stronger locals, organizing with social media, building</w:t>
      </w:r>
      <w:r w:rsidR="00B84472">
        <w:rPr>
          <w:rFonts w:ascii="Times New Roman" w:hAnsi="Times New Roman" w:cs="Times New Roman"/>
        </w:rPr>
        <w:t xml:space="preserve"> internal and external relation</w:t>
      </w:r>
      <w:r w:rsidR="00B84472" w:rsidRPr="00B84472">
        <w:rPr>
          <w:rFonts w:ascii="Times New Roman" w:hAnsi="Times New Roman" w:cs="Times New Roman"/>
        </w:rPr>
        <w:t>ships, engaging members and more.</w:t>
      </w:r>
      <w:r w:rsidR="00B84472">
        <w:rPr>
          <w:rFonts w:ascii="Times New Roman" w:hAnsi="Times New Roman" w:cs="Times New Roman"/>
        </w:rPr>
        <w:t xml:space="preserve">  </w:t>
      </w:r>
      <w:r w:rsidRPr="00822FAF">
        <w:rPr>
          <w:rFonts w:ascii="Times New Roman" w:hAnsi="Times New Roman" w:cs="Times New Roman"/>
        </w:rPr>
        <w:t>The IEA will have a delegation of staff and members attending the conference.</w:t>
      </w:r>
    </w:p>
    <w:p w:rsidR="00B84472" w:rsidRDefault="00B84472" w:rsidP="00B84472">
      <w:pPr>
        <w:pStyle w:val="Default"/>
      </w:pPr>
    </w:p>
    <w:sectPr w:rsidR="00B84472" w:rsidSect="0088129A">
      <w:pgSz w:w="12240" w:h="15840"/>
      <w:pgMar w:top="1440" w:right="126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E8"/>
    <w:rsid w:val="000E2BE8"/>
    <w:rsid w:val="00146421"/>
    <w:rsid w:val="002E754C"/>
    <w:rsid w:val="003C5947"/>
    <w:rsid w:val="00490FF9"/>
    <w:rsid w:val="005706C6"/>
    <w:rsid w:val="006B11C3"/>
    <w:rsid w:val="006E45AF"/>
    <w:rsid w:val="00710B78"/>
    <w:rsid w:val="00797E9E"/>
    <w:rsid w:val="00822FAF"/>
    <w:rsid w:val="0088129A"/>
    <w:rsid w:val="008C4CB6"/>
    <w:rsid w:val="009C5964"/>
    <w:rsid w:val="00A21C64"/>
    <w:rsid w:val="00A30611"/>
    <w:rsid w:val="00A44D2F"/>
    <w:rsid w:val="00B84472"/>
    <w:rsid w:val="00B85919"/>
    <w:rsid w:val="00CF7C1C"/>
    <w:rsid w:val="00D8574F"/>
    <w:rsid w:val="00DA2191"/>
    <w:rsid w:val="00E5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822F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9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0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0B7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22FA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B8447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44D2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8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dcpagetitle">
    <w:name w:val="mdcpagetitle"/>
    <w:basedOn w:val="DefaultParagraphFont"/>
    <w:rsid w:val="00D857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822F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9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0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0B7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22FA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B8447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44D2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8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dcpagetitle">
    <w:name w:val="mdcpagetitle"/>
    <w:basedOn w:val="DefaultParagraphFont"/>
    <w:rsid w:val="00D85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odys.com/research/Moodys-2013-outlook-for-entire-US-Higher-Education-sector-changed--PR_26386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sidehighered.com/news/2012/11/12/new-guides-suggest-questions-ask-about-adjunct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nsidehighered.com/news/2012/11/30/youngstown-state-limits-adjunct-hour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        </vt:lpstr>
      <vt:lpstr>Moody's: 2013 outlook for entire US Higher Education sector changed to negative:</vt:lpstr>
      <vt:lpstr>        </vt:lpstr>
      <vt:lpstr>        Exiting Illinois’ Higher Education:  US data indicates that the net outflow of I</vt:lpstr>
      <vt:lpstr>        </vt:lpstr>
      <vt:lpstr>        Illinois freshmen enrolled in out-of-state schools                             O</vt:lpstr>
      <vt:lpstr>        //Circle area is equal to the number of freshmen</vt:lpstr>
      <vt:lpstr>        </vt:lpstr>
    </vt:vector>
  </TitlesOfParts>
  <Company>Microsoft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Beaulieu</dc:creator>
  <cp:lastModifiedBy>Jeff Beaulieu</cp:lastModifiedBy>
  <cp:revision>2</cp:revision>
  <dcterms:created xsi:type="dcterms:W3CDTF">2013-01-31T17:09:00Z</dcterms:created>
  <dcterms:modified xsi:type="dcterms:W3CDTF">2013-01-31T17:09:00Z</dcterms:modified>
</cp:coreProperties>
</file>